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External reviewer organization data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77"/>
        <w:gridCol w:w="5493"/>
      </w:tblGrid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Open joint stock company "Russian research Institute for drainage of mineral deposits, protection of engineering structures from flooding, special mining operations, geomechanics, geophysics, hydraulic engineering, geology and surveying»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Abbreviated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OJSC «VIOGEM»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(first name, surname)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b w:val="false"/>
                <w:bCs w:val="false"/>
                <w:sz w:val="28"/>
                <w:szCs w:val="28"/>
                <w:lang w:val="en-US"/>
              </w:rPr>
              <w:t>Sergey Seriy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(position)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CEO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Postal code, address of the organization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86, Bogdan Khmelnitskiy ave., Belgorod, 308007 Russia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+7 (4722) 26-05-23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Web site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</w:rPr>
              <w:t>viogem-sp.ru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viogem@mail.belgorod.ru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LibreOffice/6.0.7.3$Linux_X86_64 LibreOffice_project/00m0$Build-3</Application>
  <Pages>1</Pages>
  <Words>93</Words>
  <Characters>609</Characters>
  <CharactersWithSpaces>685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2020-04-28T15:32:35Z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